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ind w:left="40" w:right="80" w:hanging="37"/>
        <w:spacing w:after="0" w:line="236" w:lineRule="auto"/>
        <w:rPr>
          <w:sz w:val="20"/>
          <w:szCs w:val="20"/>
          <w:color w:val="auto"/>
        </w:rPr>
      </w:pPr>
      <w:r>
        <w:rPr>
          <w:rFonts w:ascii="Times New Roman" w:cs="Times New Roman" w:eastAsia="Times New Roman" w:hAnsi="Times New Roman"/>
          <w:sz w:val="22"/>
          <w:szCs w:val="22"/>
          <w:b w:val="1"/>
          <w:bCs w:val="1"/>
          <w:color w:val="17365D"/>
        </w:rPr>
        <w:drawing>
          <wp:anchor simplePos="0" relativeHeight="251657728" behindDoc="1" locked="0" layoutInCell="0" allowOverlap="1">
            <wp:simplePos x="0" y="0"/>
            <wp:positionH relativeFrom="page">
              <wp:posOffset>304800</wp:posOffset>
            </wp:positionH>
            <wp:positionV relativeFrom="page">
              <wp:posOffset>304800</wp:posOffset>
            </wp:positionV>
            <wp:extent cx="7172325" cy="10084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172325" cy="10084435"/>
                    </a:xfrm>
                    <a:prstGeom prst="rect">
                      <a:avLst/>
                    </a:prstGeom>
                    <a:noFill/>
                  </pic:spPr>
                </pic:pic>
              </a:graphicData>
            </a:graphic>
          </wp:anchor>
        </w:drawing>
        <w:t>МУНИЦИПАЛЬНОЕ БЮДЖЕТНОЕ ДОШКОЛЬНОЕ ОБРАЗОВАТЕЛЬНОЕ УЧРЕЖДЕНИЕ ДЕТСКИЙ САД ОБЩЕРАЗВИВАЮЩЕГО ВИДА С ПРИОРИТЕТНЫМ ОСУЩЕСТВЛЕНИЕМ ДЕЯТЕЛЬНОСТИ ПО ПОЗНАВАТЕЛЬНО-РЕЧЕВОМУ РАЗВИТИЮ ВОСПИТАННИКОВ № 28</w:t>
      </w:r>
    </w:p>
    <w:p>
      <w:pPr>
        <w:spacing w:after="0" w:line="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632423"/>
        </w:rPr>
        <w:t>« Т Е Р Е М О К »</w:t>
      </w:r>
    </w:p>
    <w:p>
      <w:pPr>
        <w:spacing w:after="0" w:line="200" w:lineRule="exact"/>
        <w:rPr>
          <w:sz w:val="24"/>
          <w:szCs w:val="24"/>
          <w:color w:val="auto"/>
        </w:rPr>
      </w:pPr>
    </w:p>
    <w:p>
      <w:pPr>
        <w:spacing w:after="0" w:line="313"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8"/>
          <w:szCs w:val="28"/>
          <w:color w:val="auto"/>
        </w:rPr>
        <w:t>УТВЕРЖДЕНО</w:t>
      </w:r>
    </w:p>
    <w:p>
      <w:pPr>
        <w:ind w:left="5060"/>
        <w:spacing w:after="0"/>
        <w:rPr>
          <w:sz w:val="20"/>
          <w:szCs w:val="20"/>
          <w:color w:val="auto"/>
        </w:rPr>
      </w:pPr>
      <w:r>
        <w:rPr>
          <w:rFonts w:ascii="Times New Roman" w:cs="Times New Roman" w:eastAsia="Times New Roman" w:hAnsi="Times New Roman"/>
          <w:sz w:val="28"/>
          <w:szCs w:val="28"/>
          <w:color w:val="auto"/>
        </w:rPr>
        <w:t xml:space="preserve">Приказом </w:t>
      </w:r>
      <w:r>
        <w:rPr>
          <w:rFonts w:ascii="Times New Roman" w:cs="Times New Roman" w:eastAsia="Times New Roman" w:hAnsi="Times New Roman"/>
          <w:sz w:val="28"/>
          <w:szCs w:val="28"/>
          <w:u w:val="single" w:color="auto"/>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41-3</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от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u w:val="single" w:color="auto"/>
          <w:color w:val="auto"/>
        </w:rPr>
        <w:t>29.05.2015г</w:t>
      </w:r>
      <w:r>
        <w:rPr>
          <w:rFonts w:ascii="Times New Roman" w:cs="Times New Roman" w:eastAsia="Times New Roman" w:hAnsi="Times New Roman"/>
          <w:sz w:val="28"/>
          <w:szCs w:val="28"/>
          <w:color w:val="auto"/>
        </w:rPr>
        <w:t>.</w:t>
      </w:r>
    </w:p>
    <w:p>
      <w:pPr>
        <w:ind w:left="5060"/>
        <w:spacing w:after="0"/>
        <w:rPr>
          <w:sz w:val="20"/>
          <w:szCs w:val="20"/>
          <w:color w:val="auto"/>
        </w:rPr>
      </w:pPr>
      <w:r>
        <w:rPr>
          <w:rFonts w:ascii="Times New Roman" w:cs="Times New Roman" w:eastAsia="Times New Roman" w:hAnsi="Times New Roman"/>
          <w:sz w:val="28"/>
          <w:szCs w:val="28"/>
          <w:color w:val="auto"/>
        </w:rPr>
        <w:t>Заведующий______________</w:t>
      </w:r>
    </w:p>
    <w:p>
      <w:pPr>
        <w:jc w:val="right"/>
        <w:spacing w:after="0" w:line="239" w:lineRule="auto"/>
        <w:rPr>
          <w:sz w:val="20"/>
          <w:szCs w:val="20"/>
          <w:color w:val="auto"/>
        </w:rPr>
      </w:pPr>
      <w:r>
        <w:rPr>
          <w:rFonts w:ascii="Times New Roman" w:cs="Times New Roman" w:eastAsia="Times New Roman" w:hAnsi="Times New Roman"/>
          <w:sz w:val="28"/>
          <w:szCs w:val="28"/>
          <w:color w:val="auto"/>
        </w:rPr>
        <w:t>Н.Л. Бутыгина</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52"/>
          <w:szCs w:val="52"/>
          <w:b w:val="1"/>
          <w:bCs w:val="1"/>
          <w:color w:val="auto"/>
        </w:rPr>
        <w:t>ПОЛОЖЕНИЕ</w:t>
      </w:r>
    </w:p>
    <w:p>
      <w:pPr>
        <w:spacing w:after="0" w:line="301" w:lineRule="exact"/>
        <w:rPr>
          <w:sz w:val="24"/>
          <w:szCs w:val="24"/>
          <w:color w:val="auto"/>
        </w:rPr>
      </w:pPr>
    </w:p>
    <w:p>
      <w:pPr>
        <w:ind w:left="140" w:right="200" w:firstLine="398"/>
        <w:spacing w:after="0" w:line="368" w:lineRule="auto"/>
        <w:tabs>
          <w:tab w:leader="none" w:pos="863" w:val="left"/>
        </w:tabs>
        <w:numPr>
          <w:ilvl w:val="0"/>
          <w:numId w:val="1"/>
        </w:numPr>
        <w:rPr>
          <w:rFonts w:ascii="Times New Roman" w:cs="Times New Roman" w:eastAsia="Times New Roman" w:hAnsi="Times New Roman"/>
          <w:sz w:val="31"/>
          <w:szCs w:val="31"/>
          <w:b w:val="1"/>
          <w:bCs w:val="1"/>
          <w:color w:val="auto"/>
        </w:rPr>
      </w:pPr>
      <w:r>
        <w:rPr>
          <w:rFonts w:ascii="Times New Roman" w:cs="Times New Roman" w:eastAsia="Times New Roman" w:hAnsi="Times New Roman"/>
          <w:sz w:val="31"/>
          <w:szCs w:val="31"/>
          <w:b w:val="1"/>
          <w:bCs w:val="1"/>
          <w:color w:val="auto"/>
        </w:rPr>
        <w:t>порядке приема детей на обучение по образовательным программам дошкольного образования, отчисления и перевода из</w:t>
      </w:r>
    </w:p>
    <w:p>
      <w:pPr>
        <w:ind w:left="2360"/>
        <w:spacing w:after="0"/>
        <w:rPr>
          <w:rFonts w:ascii="Times New Roman" w:cs="Times New Roman" w:eastAsia="Times New Roman" w:hAnsi="Times New Roman"/>
          <w:sz w:val="31"/>
          <w:szCs w:val="31"/>
          <w:b w:val="1"/>
          <w:bCs w:val="1"/>
          <w:color w:val="auto"/>
        </w:rPr>
      </w:pPr>
      <w:r>
        <w:rPr>
          <w:rFonts w:ascii="Times New Roman" w:cs="Times New Roman" w:eastAsia="Times New Roman" w:hAnsi="Times New Roman"/>
          <w:sz w:val="32"/>
          <w:szCs w:val="32"/>
          <w:b w:val="1"/>
          <w:bCs w:val="1"/>
          <w:color w:val="auto"/>
        </w:rPr>
        <w:t>одной возрастной группы в другую.</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color w:val="auto"/>
        </w:rPr>
        <w:t>2015г.</w:t>
      </w:r>
    </w:p>
    <w:p>
      <w:pPr>
        <w:sectPr>
          <w:pgSz w:w="11900" w:h="16838" w:orient="portrait"/>
          <w:cols w:equalWidth="0" w:num="1">
            <w:col w:w="9960"/>
          </w:cols>
          <w:pgMar w:left="1140" w:top="1141" w:right="806" w:bottom="794" w:gutter="0" w:footer="0" w:header="0"/>
        </w:sectPr>
      </w:pPr>
    </w:p>
    <w:p>
      <w:pPr>
        <w:ind w:left="4060" w:hanging="233"/>
        <w:spacing w:after="0"/>
        <w:tabs>
          <w:tab w:leader="none" w:pos="4060" w:val="left"/>
        </w:tabs>
        <w:numPr>
          <w:ilvl w:val="0"/>
          <w:numId w:val="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304800</wp:posOffset>
                </wp:positionV>
                <wp:extent cx="0" cy="1000950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24pt" to="25.5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7237730</wp:posOffset>
                </wp:positionH>
                <wp:positionV relativeFrom="page">
                  <wp:posOffset>304800</wp:posOffset>
                </wp:positionV>
                <wp:extent cx="0" cy="1000950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9.9pt,24pt" to="569.9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304800</wp:posOffset>
                </wp:positionH>
                <wp:positionV relativeFrom="page">
                  <wp:posOffset>323850</wp:posOffset>
                </wp:positionV>
                <wp:extent cx="695198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pt,25.5pt" to="571.4pt,25.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370205</wp:posOffset>
                </wp:positionV>
                <wp:extent cx="684022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29.15pt" to="567pt,29.1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370205</wp:posOffset>
                </wp:positionH>
                <wp:positionV relativeFrom="page">
                  <wp:posOffset>360680</wp:posOffset>
                </wp:positionV>
                <wp:extent cx="0" cy="997204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7">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15pt,28.4pt" to="29.15pt,813.6pt" o:allowincell="f" strokecolor="#000000" strokeweight="1.4399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10323195</wp:posOffset>
                </wp:positionV>
                <wp:extent cx="68402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812.85pt" to="567pt,812.8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7191375</wp:posOffset>
                </wp:positionH>
                <wp:positionV relativeFrom="page">
                  <wp:posOffset>360680</wp:posOffset>
                </wp:positionV>
                <wp:extent cx="0" cy="997204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6.25pt,28.4pt" to="566.25pt,813.6pt" o:allowincell="f" strokecolor="#000000" strokeweight="1.44pt">
                <w10:wrap anchorx="page" anchory="page"/>
              </v:line>
            </w:pict>
          </mc:Fallback>
        </mc:AlternateContent>
        <w:t>Общие положения</w:t>
      </w:r>
    </w:p>
    <w:p>
      <w:pPr>
        <w:spacing w:after="0" w:line="147" w:lineRule="exact"/>
        <w:rPr>
          <w:sz w:val="20"/>
          <w:szCs w:val="20"/>
          <w:color w:val="auto"/>
        </w:rPr>
      </w:pPr>
    </w:p>
    <w:p>
      <w:pPr>
        <w:spacing w:after="0" w:line="348" w:lineRule="auto"/>
        <w:rPr>
          <w:sz w:val="20"/>
          <w:szCs w:val="20"/>
          <w:color w:val="auto"/>
        </w:rPr>
      </w:pPr>
      <w:r>
        <w:rPr>
          <w:rFonts w:ascii="Times New Roman" w:cs="Times New Roman" w:eastAsia="Times New Roman" w:hAnsi="Times New Roman"/>
          <w:sz w:val="24"/>
          <w:szCs w:val="24"/>
          <w:color w:val="auto"/>
        </w:rPr>
        <w:t>1.1. Настоящий порядок приема на обучение по образовательным программам дошкольного образования (далее –Порядок) разработан в соответствии с:</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Федеральным законом от 29.12.2012 № 273-ФЗ "Об образовании в Российской Федерации";</w:t>
      </w:r>
    </w:p>
    <w:p>
      <w:pPr>
        <w:spacing w:after="0" w:line="149" w:lineRule="exact"/>
        <w:rPr>
          <w:sz w:val="20"/>
          <w:szCs w:val="20"/>
          <w:color w:val="auto"/>
        </w:rPr>
      </w:pPr>
    </w:p>
    <w:p>
      <w:pPr>
        <w:spacing w:after="0" w:line="350" w:lineRule="auto"/>
        <w:rPr>
          <w:sz w:val="20"/>
          <w:szCs w:val="20"/>
          <w:color w:val="auto"/>
        </w:rPr>
      </w:pPr>
      <w:r>
        <w:rPr>
          <w:rFonts w:ascii="Times New Roman" w:cs="Times New Roman" w:eastAsia="Times New Roman" w:hAnsi="Times New Roman"/>
          <w:sz w:val="24"/>
          <w:szCs w:val="24"/>
          <w:color w:val="auto"/>
        </w:rPr>
        <w:t>– Федеральным законом от 25.07.2002 № 115-ФЗ "О правовом положении иностранных граждан в Российской Федерации";</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Законом Российской Федерации от 19.02.1993 № 4530-1 "О вынужденных переселенцах";</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Законом Российской Федерации от 19.02.1993 № 4528-1 "О беженцах";</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Порядком приема на обучение по образовательным программам дошкольного образования,</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утв. приказом Минобрнауки России от 08.04.2014 № 293;</w:t>
      </w:r>
    </w:p>
    <w:p>
      <w:pPr>
        <w:spacing w:after="0" w:line="150" w:lineRule="exact"/>
        <w:rPr>
          <w:sz w:val="20"/>
          <w:szCs w:val="20"/>
          <w:color w:val="auto"/>
        </w:rPr>
      </w:pPr>
    </w:p>
    <w:p>
      <w:pPr>
        <w:jc w:val="both"/>
        <w:spacing w:after="0" w:line="350" w:lineRule="auto"/>
        <w:rPr>
          <w:sz w:val="20"/>
          <w:szCs w:val="20"/>
          <w:color w:val="auto"/>
        </w:rPr>
      </w:pPr>
      <w:r>
        <w:rPr>
          <w:rFonts w:ascii="Times New Roman" w:cs="Times New Roman" w:eastAsia="Times New Roman" w:hAnsi="Times New Roman"/>
          <w:sz w:val="24"/>
          <w:szCs w:val="24"/>
          <w:color w:val="auto"/>
        </w:rPr>
        <w:t>– Порядком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утв. приказом Минобрнауки России от 30.08.2013 № 1014;</w:t>
      </w:r>
    </w:p>
    <w:p>
      <w:pPr>
        <w:spacing w:after="0" w:line="151" w:lineRule="exact"/>
        <w:rPr>
          <w:sz w:val="20"/>
          <w:szCs w:val="20"/>
          <w:color w:val="auto"/>
        </w:rPr>
      </w:pPr>
    </w:p>
    <w:p>
      <w:pPr>
        <w:ind w:right="20"/>
        <w:spacing w:after="0" w:line="348" w:lineRule="auto"/>
        <w:rPr>
          <w:sz w:val="20"/>
          <w:szCs w:val="20"/>
          <w:color w:val="auto"/>
        </w:rPr>
      </w:pPr>
      <w:r>
        <w:rPr>
          <w:rFonts w:ascii="Times New Roman" w:cs="Times New Roman" w:eastAsia="Times New Roman" w:hAnsi="Times New Roman"/>
          <w:sz w:val="24"/>
          <w:szCs w:val="24"/>
          <w:color w:val="auto"/>
        </w:rPr>
        <w:t>– Положением о порядке учета детей, подлежащих обучению по образовательным программам дошкольного образования в муниципальном образовании «город Екатеринбург»;</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Уставом МБДОУ  детский сад № 28 «Теремок».</w:t>
      </w:r>
    </w:p>
    <w:p>
      <w:pPr>
        <w:spacing w:after="0" w:line="149"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4"/>
          <w:szCs w:val="24"/>
          <w:color w:val="auto"/>
        </w:rPr>
        <w:t>1.2. Настоящий Порядок регламентирует прием граждан РФ (далее – ребенок, дети) в МБДОУ детский сад № 28 «Теремок» (далее МБДОУ) для обучения по образовательным программам дошкольного образования.</w:t>
      </w:r>
    </w:p>
    <w:p>
      <w:pPr>
        <w:spacing w:after="0" w:line="22"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4"/>
          <w:szCs w:val="24"/>
          <w:color w:val="auto"/>
        </w:rPr>
        <w:t>1.3. Прием иностранных граждан и лиц без гражданства, в т. ч. из числа соотечественников за рубежом, беженцев и вынужденных переселенцев, за счет средств бюджетных ассигнований федерального бюджета, бюджетов субъектов РФ и местных бюджетов осуществляется в соответствии с международными договорами РФ, Федеральным законом от 29.12.2012 № 273-ФЗ "Об образовании в Российской Федерации", Порядком приема на обучение по образовательным программам дошкольного образования, утв. приказом Минобрнауки России от 08.04.2014 № 293, и настоящими Положением.</w:t>
      </w:r>
    </w:p>
    <w:p>
      <w:pPr>
        <w:spacing w:after="0" w:line="8" w:lineRule="exact"/>
        <w:rPr>
          <w:sz w:val="20"/>
          <w:szCs w:val="20"/>
          <w:color w:val="auto"/>
        </w:rPr>
      </w:pPr>
    </w:p>
    <w:p>
      <w:pPr>
        <w:ind w:left="3920" w:hanging="240"/>
        <w:spacing w:after="0"/>
        <w:tabs>
          <w:tab w:leader="none" w:pos="3920" w:val="left"/>
        </w:tabs>
        <w:numPr>
          <w:ilvl w:val="0"/>
          <w:numId w:val="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Организация приема</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2.1. МБДОУ осуществляет прием детей в возрасте от 2 до 7лет.</w:t>
      </w:r>
    </w:p>
    <w:p>
      <w:pPr>
        <w:spacing w:after="0" w:line="149" w:lineRule="exact"/>
        <w:rPr>
          <w:sz w:val="20"/>
          <w:szCs w:val="20"/>
          <w:color w:val="auto"/>
        </w:rPr>
      </w:pPr>
    </w:p>
    <w:p>
      <w:pPr>
        <w:spacing w:after="0" w:line="356" w:lineRule="auto"/>
        <w:rPr>
          <w:sz w:val="20"/>
          <w:szCs w:val="20"/>
          <w:color w:val="auto"/>
        </w:rPr>
      </w:pPr>
      <w:r>
        <w:rPr>
          <w:rFonts w:ascii="Times New Roman" w:cs="Times New Roman" w:eastAsia="Times New Roman" w:hAnsi="Times New Roman"/>
          <w:sz w:val="24"/>
          <w:szCs w:val="24"/>
          <w:color w:val="auto"/>
        </w:rPr>
        <w:t>2.2. МБДОУ обеспечивает прием детей, имеющих право на получение дошкольного образования, проживающих на территории Верх-Исетского района г.Екатеринбурга, закрепленной распорядительным актом Управления образования г. Екатеринбург. В приеме детей может быть отказано только при отсутствии свободных мест.</w:t>
      </w:r>
    </w:p>
    <w:p>
      <w:pPr>
        <w:spacing w:after="0" w:line="19"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4"/>
          <w:szCs w:val="24"/>
          <w:color w:val="auto"/>
        </w:rPr>
        <w:t>2.3. Прием детей с ограниченными возможностями здоровья осуществляется на обучение по адаптированным программам с согласия родителей (законных представителей) на основании рекомендаций психолого-медико-педагогической комиссии.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-419100</wp:posOffset>
                </wp:positionH>
                <wp:positionV relativeFrom="paragraph">
                  <wp:posOffset>402590</wp:posOffset>
                </wp:positionV>
                <wp:extent cx="38100" cy="7493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930"/>
                        </a:xfrm>
                        <a:prstGeom prst="rect">
                          <a:avLst/>
                        </a:prstGeom>
                        <a:solidFill>
                          <a:srgbClr val="000000"/>
                        </a:solidFill>
                      </wps:spPr>
                      <wps:bodyPr/>
                    </wps:wsp>
                  </a:graphicData>
                </a:graphic>
              </wp:anchor>
            </w:drawing>
          </mc:Choice>
          <mc:Fallback>
            <w:pict>
              <v:rect id="Shape 9" o:spid="_x0000_s1034" style="position:absolute;margin-left:-33pt;margin-top:31.7pt;width:3pt;height: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6494780</wp:posOffset>
                </wp:positionH>
                <wp:positionV relativeFrom="paragraph">
                  <wp:posOffset>402590</wp:posOffset>
                </wp:positionV>
                <wp:extent cx="38100" cy="7493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930"/>
                        </a:xfrm>
                        <a:prstGeom prst="rect">
                          <a:avLst/>
                        </a:prstGeom>
                        <a:solidFill>
                          <a:srgbClr val="000000"/>
                        </a:solidFill>
                      </wps:spPr>
                      <wps:bodyPr/>
                    </wps:wsp>
                  </a:graphicData>
                </a:graphic>
              </wp:anchor>
            </w:drawing>
          </mc:Choice>
          <mc:Fallback>
            <w:pict>
              <v:rect id="Shape 10" o:spid="_x0000_s1035" style="position:absolute;margin-left:511.4pt;margin-top:31.7pt;width:3pt;height: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458470</wp:posOffset>
                </wp:positionV>
                <wp:extent cx="69519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36.1pt" to="514.4pt,36.1pt" o:allowincell="f" strokecolor="#000000" strokeweight="3pt"/>
            </w:pict>
          </mc:Fallback>
        </mc:AlternateContent>
      </w:r>
    </w:p>
    <w:p>
      <w:pPr>
        <w:sectPr>
          <w:pgSz w:w="11900" w:h="16838" w:orient="portrait"/>
          <w:cols w:equalWidth="0" w:num="1">
            <w:col w:w="9920"/>
          </w:cols>
          <w:pgMar w:left="1140" w:top="1130" w:right="846" w:bottom="665" w:gutter="0" w:footer="0" w:header="0"/>
        </w:sectPr>
      </w:pPr>
    </w:p>
    <w:p>
      <w:pPr>
        <w:jc w:val="both"/>
        <w:ind w:left="7"/>
        <w:spacing w:after="0" w:line="350"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304800</wp:posOffset>
                </wp:positionV>
                <wp:extent cx="0" cy="1000950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24pt" to="25.5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7237730</wp:posOffset>
                </wp:positionH>
                <wp:positionV relativeFrom="page">
                  <wp:posOffset>304800</wp:posOffset>
                </wp:positionV>
                <wp:extent cx="0" cy="1000950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9.9pt,24pt" to="569.9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304800</wp:posOffset>
                </wp:positionH>
                <wp:positionV relativeFrom="page">
                  <wp:posOffset>323850</wp:posOffset>
                </wp:positionV>
                <wp:extent cx="695198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pt,25.5pt" to="571.4pt,25.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370205</wp:posOffset>
                </wp:positionV>
                <wp:extent cx="684022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29.15pt" to="567pt,29.1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370205</wp:posOffset>
                </wp:positionH>
                <wp:positionV relativeFrom="page">
                  <wp:posOffset>360680</wp:posOffset>
                </wp:positionV>
                <wp:extent cx="0" cy="997204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7">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15pt,28.4pt" to="29.15pt,813.6pt" o:allowincell="f" strokecolor="#000000" strokeweight="1.4399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10323195</wp:posOffset>
                </wp:positionV>
                <wp:extent cx="684022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812.85pt" to="567pt,812.8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7191375</wp:posOffset>
                </wp:positionH>
                <wp:positionV relativeFrom="page">
                  <wp:posOffset>360680</wp:posOffset>
                </wp:positionV>
                <wp:extent cx="0" cy="99720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6.25pt,28.4pt" to="566.25pt,813.6pt" o:allowincell="f" strokecolor="#000000" strokeweight="1.44pt">
                <w10:wrap anchorx="page" anchory="page"/>
              </v:line>
            </w:pict>
          </mc:Fallback>
        </mc:AlternateContent>
        <w:t>2.4. Прием детей в МБДОУ осуществляется в течение всего календарного года при наличии свободных мест.</w:t>
      </w:r>
    </w:p>
    <w:p>
      <w:pPr>
        <w:spacing w:after="0" w:line="23" w:lineRule="exact"/>
        <w:rPr>
          <w:sz w:val="20"/>
          <w:szCs w:val="20"/>
          <w:color w:val="auto"/>
        </w:rPr>
      </w:pPr>
    </w:p>
    <w:p>
      <w:pPr>
        <w:jc w:val="both"/>
        <w:ind w:left="7" w:right="20"/>
        <w:spacing w:after="0" w:line="350" w:lineRule="auto"/>
        <w:rPr>
          <w:sz w:val="20"/>
          <w:szCs w:val="20"/>
          <w:color w:val="auto"/>
        </w:rPr>
      </w:pPr>
      <w:r>
        <w:rPr>
          <w:rFonts w:ascii="Times New Roman" w:cs="Times New Roman" w:eastAsia="Times New Roman" w:hAnsi="Times New Roman"/>
          <w:sz w:val="24"/>
          <w:szCs w:val="24"/>
          <w:color w:val="auto"/>
        </w:rPr>
        <w:t>2.5. До начала приема МБДОУ назначает лицо, ответственное за прием документов, и утверждает график приема заявлений и документов.</w:t>
      </w:r>
    </w:p>
    <w:p>
      <w:pPr>
        <w:spacing w:after="0" w:line="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3. Порядок зачисления</w:t>
      </w:r>
    </w:p>
    <w:p>
      <w:pPr>
        <w:spacing w:after="0" w:line="147" w:lineRule="exact"/>
        <w:rPr>
          <w:sz w:val="20"/>
          <w:szCs w:val="20"/>
          <w:color w:val="auto"/>
        </w:rPr>
      </w:pPr>
    </w:p>
    <w:p>
      <w:pPr>
        <w:jc w:val="both"/>
        <w:ind w:left="7"/>
        <w:spacing w:after="0" w:line="354" w:lineRule="auto"/>
        <w:rPr>
          <w:sz w:val="20"/>
          <w:szCs w:val="20"/>
          <w:color w:val="auto"/>
        </w:rPr>
      </w:pPr>
      <w:r>
        <w:rPr>
          <w:rFonts w:ascii="Times New Roman" w:cs="Times New Roman" w:eastAsia="Times New Roman" w:hAnsi="Times New Roman"/>
          <w:sz w:val="24"/>
          <w:szCs w:val="24"/>
          <w:color w:val="auto"/>
        </w:rPr>
        <w:t>3.1. Документы о приеме принимаются в МБДОУ у законных представителей детей, которые получили направление в МБДОУ в рамках реализации государственной и муниципальной услуги, предоставляемой Управлением образования Администрации города Екатеринбурга.</w:t>
      </w:r>
    </w:p>
    <w:p>
      <w:pPr>
        <w:spacing w:after="0" w:line="20" w:lineRule="exact"/>
        <w:rPr>
          <w:sz w:val="20"/>
          <w:szCs w:val="20"/>
          <w:color w:val="auto"/>
        </w:rPr>
      </w:pPr>
    </w:p>
    <w:p>
      <w:pPr>
        <w:jc w:val="both"/>
        <w:ind w:left="7"/>
        <w:spacing w:after="0" w:line="358" w:lineRule="auto"/>
        <w:rPr>
          <w:sz w:val="20"/>
          <w:szCs w:val="20"/>
          <w:color w:val="auto"/>
        </w:rPr>
      </w:pPr>
      <w:r>
        <w:rPr>
          <w:rFonts w:ascii="Times New Roman" w:cs="Times New Roman" w:eastAsia="Times New Roman" w:hAnsi="Times New Roman"/>
          <w:sz w:val="24"/>
          <w:szCs w:val="24"/>
          <w:color w:val="auto"/>
        </w:rPr>
        <w:t xml:space="preserve">3.2. Прием детей в МБДОУ на обучение по программам дошкольного образования,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РФ в соответствии с законодательством РФ. Форма заявления утверждена приказом по МБДОУ Приказ № 41-2 от 29.05.2015г., размещена на информационном стенде МБДОУ и на официальном сайте МБДОУ в сети Интернет </w:t>
      </w:r>
      <w:r>
        <w:rPr>
          <w:rFonts w:ascii="Times New Roman" w:cs="Times New Roman" w:eastAsia="Times New Roman" w:hAnsi="Times New Roman"/>
          <w:sz w:val="24"/>
          <w:szCs w:val="24"/>
          <w:u w:val="single" w:color="auto"/>
          <w:color w:val="800080"/>
        </w:rPr>
        <w:t>http://detsad28teremok.ucoz.ru/</w:t>
      </w:r>
      <w:r>
        <w:rPr>
          <w:rFonts w:ascii="Times New Roman" w:cs="Times New Roman" w:eastAsia="Times New Roman" w:hAnsi="Times New Roman"/>
          <w:sz w:val="24"/>
          <w:szCs w:val="24"/>
          <w:color w:val="000000"/>
        </w:rPr>
        <w:t>.</w:t>
      </w:r>
    </w:p>
    <w:p>
      <w:pPr>
        <w:spacing w:after="0" w:line="19" w:lineRule="exact"/>
        <w:rPr>
          <w:sz w:val="20"/>
          <w:szCs w:val="20"/>
          <w:color w:val="auto"/>
        </w:rPr>
      </w:pPr>
    </w:p>
    <w:p>
      <w:pPr>
        <w:jc w:val="both"/>
        <w:ind w:left="7"/>
        <w:spacing w:after="0" w:line="350" w:lineRule="auto"/>
        <w:rPr>
          <w:sz w:val="20"/>
          <w:szCs w:val="20"/>
          <w:color w:val="auto"/>
        </w:rPr>
      </w:pPr>
      <w:r>
        <w:rPr>
          <w:rFonts w:ascii="Times New Roman" w:cs="Times New Roman" w:eastAsia="Times New Roman" w:hAnsi="Times New Roman"/>
          <w:sz w:val="24"/>
          <w:szCs w:val="24"/>
          <w:color w:val="auto"/>
        </w:rPr>
        <w:t>3.3. Прием детей, впервые поступающих в МБДОУ, осуществляется на основании медицинского заключения.</w:t>
      </w:r>
    </w:p>
    <w:p>
      <w:pPr>
        <w:spacing w:after="0" w:line="23" w:lineRule="exact"/>
        <w:rPr>
          <w:sz w:val="20"/>
          <w:szCs w:val="20"/>
          <w:color w:val="auto"/>
        </w:rPr>
      </w:pPr>
    </w:p>
    <w:p>
      <w:pPr>
        <w:jc w:val="both"/>
        <w:ind w:left="7"/>
        <w:spacing w:after="0" w:line="354" w:lineRule="auto"/>
        <w:rPr>
          <w:sz w:val="20"/>
          <w:szCs w:val="20"/>
          <w:color w:val="auto"/>
        </w:rPr>
      </w:pPr>
      <w:r>
        <w:rPr>
          <w:rFonts w:ascii="Times New Roman" w:cs="Times New Roman" w:eastAsia="Times New Roman" w:hAnsi="Times New Roman"/>
          <w:sz w:val="24"/>
          <w:szCs w:val="24"/>
          <w:color w:val="auto"/>
        </w:rPr>
        <w:t>3.4. При приеме детей в МБДОУ родители (законные представители) детей, подлежащих обучению по образовательным программам дошкольного образования утвержденных в списках, предоставляют:</w:t>
      </w:r>
    </w:p>
    <w:p>
      <w:pPr>
        <w:spacing w:after="0" w:line="10" w:lineRule="exact"/>
        <w:rPr>
          <w:sz w:val="20"/>
          <w:szCs w:val="20"/>
          <w:color w:val="auto"/>
        </w:rPr>
      </w:pPr>
    </w:p>
    <w:p>
      <w:pPr>
        <w:ind w:left="707" w:hanging="707"/>
        <w:spacing w:after="0"/>
        <w:tabs>
          <w:tab w:leader="none" w:pos="707"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оригинал  и  копию  свидетельства  о  рождении  ребенка  или  документ  и  копию,</w:t>
      </w: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подтверждающий родство заявителя (или законность представления прав ребенка);</w:t>
      </w:r>
    </w:p>
    <w:p>
      <w:pPr>
        <w:spacing w:after="0" w:line="151" w:lineRule="exact"/>
        <w:rPr>
          <w:sz w:val="20"/>
          <w:szCs w:val="20"/>
          <w:color w:val="auto"/>
        </w:rPr>
      </w:pPr>
    </w:p>
    <w:p>
      <w:pPr>
        <w:jc w:val="both"/>
        <w:ind w:left="7" w:hanging="7"/>
        <w:spacing w:after="0" w:line="354" w:lineRule="auto"/>
        <w:tabs>
          <w:tab w:leader="none" w:pos="775"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свидетельство о регистрации ребенка по месту жительства и копию или по месту пребывания на закрепленной территории или документ, содержащий сведения о регистрации ребенка по месту жительства или по месту пребывания.</w:t>
      </w:r>
    </w:p>
    <w:p>
      <w:pPr>
        <w:spacing w:after="0" w:line="20" w:lineRule="exact"/>
        <w:rPr>
          <w:sz w:val="20"/>
          <w:szCs w:val="20"/>
          <w:color w:val="auto"/>
        </w:rPr>
      </w:pPr>
    </w:p>
    <w:p>
      <w:pPr>
        <w:ind w:left="7"/>
        <w:spacing w:after="0" w:line="350" w:lineRule="auto"/>
        <w:rPr>
          <w:sz w:val="20"/>
          <w:szCs w:val="20"/>
          <w:color w:val="auto"/>
        </w:rPr>
      </w:pPr>
      <w:r>
        <w:rPr>
          <w:rFonts w:ascii="Times New Roman" w:cs="Times New Roman" w:eastAsia="Times New Roman" w:hAnsi="Times New Roman"/>
          <w:sz w:val="24"/>
          <w:szCs w:val="24"/>
          <w:color w:val="auto"/>
        </w:rPr>
        <w:t>При приеме детей в МБДОУ родители (законные представители) детей, не являющихся гражданами РФ, дополнительно предоставляют:</w:t>
      </w:r>
    </w:p>
    <w:p>
      <w:pPr>
        <w:spacing w:after="0" w:line="24" w:lineRule="exact"/>
        <w:rPr>
          <w:sz w:val="20"/>
          <w:szCs w:val="20"/>
          <w:color w:val="auto"/>
        </w:rPr>
      </w:pPr>
    </w:p>
    <w:p>
      <w:pPr>
        <w:ind w:left="7" w:right="20" w:hanging="7"/>
        <w:spacing w:after="0" w:line="350" w:lineRule="auto"/>
        <w:tabs>
          <w:tab w:leader="none" w:pos="775"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документ, подтверждающий родство заявителя или законность представления прав ребенка;</w:t>
      </w:r>
    </w:p>
    <w:p>
      <w:pPr>
        <w:spacing w:after="0" w:line="23" w:lineRule="exact"/>
        <w:rPr>
          <w:rFonts w:ascii="Times New Roman" w:cs="Times New Roman" w:eastAsia="Times New Roman" w:hAnsi="Times New Roman"/>
          <w:sz w:val="24"/>
          <w:szCs w:val="24"/>
          <w:color w:val="auto"/>
        </w:rPr>
      </w:pPr>
    </w:p>
    <w:p>
      <w:pPr>
        <w:jc w:val="both"/>
        <w:ind w:left="7" w:hanging="7"/>
        <w:spacing w:after="0" w:line="357" w:lineRule="auto"/>
        <w:tabs>
          <w:tab w:leader="none" w:pos="775"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документ, подтверждающий право заявителя на пребывание в РФ (виза (в случае прибытия в РФ в порядке, требующем получения визы) и (или) миграционная карта с отметкой о въезде в РФ (за исключением граждан Республики Беларусь), вид на жительство или разрешение на временное проживание в РФ, иные документы, предусмотренные федеральным законом или международным договором РФ).</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-414655</wp:posOffset>
                </wp:positionH>
                <wp:positionV relativeFrom="paragraph">
                  <wp:posOffset>400685</wp:posOffset>
                </wp:positionV>
                <wp:extent cx="38100" cy="7429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295"/>
                        </a:xfrm>
                        <a:prstGeom prst="rect">
                          <a:avLst/>
                        </a:prstGeom>
                        <a:solidFill>
                          <a:srgbClr val="000000"/>
                        </a:solidFill>
                      </wps:spPr>
                      <wps:bodyPr/>
                    </wps:wsp>
                  </a:graphicData>
                </a:graphic>
              </wp:anchor>
            </w:drawing>
          </mc:Choice>
          <mc:Fallback>
            <w:pict>
              <v:rect id="Shape 19" o:spid="_x0000_s1044" style="position:absolute;margin-left:-32.6499pt;margin-top:31.55pt;width:3pt;height:5.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6499225</wp:posOffset>
                </wp:positionH>
                <wp:positionV relativeFrom="paragraph">
                  <wp:posOffset>400685</wp:posOffset>
                </wp:positionV>
                <wp:extent cx="38100" cy="7429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295"/>
                        </a:xfrm>
                        <a:prstGeom prst="rect">
                          <a:avLst/>
                        </a:prstGeom>
                        <a:solidFill>
                          <a:srgbClr val="000000"/>
                        </a:solidFill>
                      </wps:spPr>
                      <wps:bodyPr/>
                    </wps:wsp>
                  </a:graphicData>
                </a:graphic>
              </wp:anchor>
            </w:drawing>
          </mc:Choice>
          <mc:Fallback>
            <w:pict>
              <v:rect id="Shape 20" o:spid="_x0000_s1045" style="position:absolute;margin-left:511.75pt;margin-top:31.55pt;width:3pt;height:5.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-414655</wp:posOffset>
                </wp:positionH>
                <wp:positionV relativeFrom="paragraph">
                  <wp:posOffset>455930</wp:posOffset>
                </wp:positionV>
                <wp:extent cx="695198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499pt,35.9pt" to="514.75pt,35.9pt" o:allowincell="f" strokecolor="#000000" strokeweight="3pt"/>
            </w:pict>
          </mc:Fallback>
        </mc:AlternateContent>
      </w:r>
    </w:p>
    <w:p>
      <w:pPr>
        <w:sectPr>
          <w:pgSz w:w="11900" w:h="16838" w:orient="portrait"/>
          <w:cols w:equalWidth="0" w:num="1">
            <w:col w:w="9927"/>
          </w:cols>
          <w:pgMar w:left="1133" w:top="1137" w:right="846" w:bottom="662" w:gutter="0" w:footer="0" w:header="0"/>
        </w:sectPr>
      </w:pPr>
    </w:p>
    <w:p>
      <w:pPr>
        <w:spacing w:after="0" w:line="356"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304800</wp:posOffset>
                </wp:positionV>
                <wp:extent cx="0" cy="1000950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24pt" to="25.5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7237730</wp:posOffset>
                </wp:positionH>
                <wp:positionV relativeFrom="page">
                  <wp:posOffset>304800</wp:posOffset>
                </wp:positionV>
                <wp:extent cx="0" cy="1000950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9.9pt,24pt" to="569.9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304800</wp:posOffset>
                </wp:positionH>
                <wp:positionV relativeFrom="page">
                  <wp:posOffset>323850</wp:posOffset>
                </wp:positionV>
                <wp:extent cx="695198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pt,25.5pt" to="571.4pt,25.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370205</wp:posOffset>
                </wp:positionV>
                <wp:extent cx="684022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29.15pt" to="567pt,29.1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370205</wp:posOffset>
                </wp:positionH>
                <wp:positionV relativeFrom="page">
                  <wp:posOffset>360680</wp:posOffset>
                </wp:positionV>
                <wp:extent cx="0" cy="99720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7">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15pt,28.4pt" to="29.15pt,813.6pt" o:allowincell="f" strokecolor="#000000" strokeweight="1.4399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10323195</wp:posOffset>
                </wp:positionV>
                <wp:extent cx="684022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812.85pt" to="567pt,812.8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7191375</wp:posOffset>
                </wp:positionH>
                <wp:positionV relativeFrom="page">
                  <wp:posOffset>360680</wp:posOffset>
                </wp:positionV>
                <wp:extent cx="0" cy="997204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6.25pt,28.4pt" to="566.25pt,813.6pt" o:allowincell="f" strokecolor="#000000" strokeweight="1.44pt">
                <w10:wrap anchorx="page" anchory="page"/>
              </v:line>
            </w:pict>
          </mc:Fallback>
        </mc:AlternateContent>
        <w:t>Иностранные граждане и лица без гражданства все документы представляют на русском языке или вместе с нотариально заверенным в установленном порядке переводом на русский язык. При приеме в МБДОУ детей из семей беженцев или вынужденных переселенцев родители (законные представители) предоставляют:</w:t>
      </w:r>
    </w:p>
    <w:p>
      <w:pPr>
        <w:spacing w:after="0" w:line="19" w:lineRule="exact"/>
        <w:rPr>
          <w:sz w:val="20"/>
          <w:szCs w:val="20"/>
          <w:color w:val="auto"/>
        </w:rPr>
      </w:pPr>
    </w:p>
    <w:p>
      <w:pPr>
        <w:jc w:val="both"/>
        <w:spacing w:after="0" w:line="350" w:lineRule="auto"/>
        <w:rPr>
          <w:sz w:val="20"/>
          <w:szCs w:val="20"/>
          <w:color w:val="auto"/>
        </w:rPr>
      </w:pPr>
      <w:r>
        <w:rPr>
          <w:rFonts w:ascii="Times New Roman" w:cs="Times New Roman" w:eastAsia="Times New Roman" w:hAnsi="Times New Roman"/>
          <w:sz w:val="24"/>
          <w:szCs w:val="24"/>
          <w:color w:val="auto"/>
        </w:rPr>
        <w:t>– удостоверение вынужденного переселенца со сведениями о членах семьи, не достигших возраста 18 лет, или удостоверение беженца со сведениями о членах семьи, не достигших 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лет.</w:t>
      </w:r>
    </w:p>
    <w:p>
      <w:pPr>
        <w:spacing w:after="0" w:line="151"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4"/>
          <w:szCs w:val="24"/>
          <w:color w:val="auto"/>
        </w:rPr>
        <w:t>3.5. При приеме ребенка в МБДОУ родители (законные представители) знакомятся с Уставом МБДОУ, лицензией на право осуществления образовательной деятельности, образовательными программами, реализуемыми МБДОУ, локальными нормативными актами, регламентирующими организацию и осуществление образовательной деятельности, права и обязанности воспитанников, а также настоящим Порядком, в том числе через информационные стенды системы общего пользования.</w:t>
      </w:r>
    </w:p>
    <w:p>
      <w:pPr>
        <w:spacing w:after="0" w:line="22"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4"/>
          <w:szCs w:val="24"/>
          <w:color w:val="auto"/>
        </w:rPr>
        <w:t>3.6. Факт ознакомления родителей (законных представителей) ребенка с документами, указанными в п. 3.5., фиксируется в заявлении о приеме и заверяется личной подписью родителей (законных представителей) ребенка.</w:t>
      </w:r>
    </w:p>
    <w:p>
      <w:pPr>
        <w:spacing w:after="0" w:line="20"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4"/>
          <w:szCs w:val="24"/>
          <w:color w:val="auto"/>
        </w:rPr>
        <w:t>3.7. Подписью родителей (законных представителей) ребенка фиксируется также согласие на обработку их персональных данных и персональных данных ребенка в порядке, установленном законодательством РФ.</w:t>
      </w:r>
    </w:p>
    <w:p>
      <w:pPr>
        <w:spacing w:after="0" w:line="22"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4"/>
          <w:szCs w:val="24"/>
          <w:color w:val="auto"/>
        </w:rPr>
        <w:t>3.8. Лицо, ответственное за прием документов, осуществляет регистрацию поданных заявлений и документов в журнале приема заявлений о приеме в МБДОУ, о чем родителям (законным представителям) детей выдается расписка в получении документов, содержащая информацию о регистрационном номере заявления о приеме ребенка в МБДОУ и перечне представленных документов. Расписка заверяется подписью лица, ответственного за прием документов, и печатью МБДОУ.</w:t>
      </w:r>
    </w:p>
    <w:p>
      <w:pPr>
        <w:spacing w:after="0" w:line="21"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4"/>
          <w:szCs w:val="24"/>
          <w:color w:val="auto"/>
        </w:rPr>
        <w:t>3.9. Заявление может быть подано родителем (законным представителем) в форме электронного документа с использованием информационно-телекоммуникационных сетей общего пользования.</w:t>
      </w:r>
    </w:p>
    <w:p>
      <w:pPr>
        <w:spacing w:after="0" w:line="20"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4"/>
          <w:szCs w:val="24"/>
          <w:color w:val="auto"/>
        </w:rPr>
        <w:t>3.10. После приема документов, указанных в пункте 3.4., с родителем (законным представителем) заключается договор об образовании по образовательным программам дошкольного образования (далее договор).</w:t>
      </w:r>
    </w:p>
    <w:p>
      <w:pPr>
        <w:spacing w:after="0" w:line="22"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4"/>
          <w:szCs w:val="24"/>
          <w:color w:val="auto"/>
        </w:rPr>
        <w:t>3.10. При приеме на обучение по образовательным программам дошкольного образования в течении трех рабочих дней после подписания руководителем МБДОУ издается приказа о приеме в МБДОУ предшествует заключение договора на обучение.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-419100</wp:posOffset>
                </wp:positionH>
                <wp:positionV relativeFrom="paragraph">
                  <wp:posOffset>664845</wp:posOffset>
                </wp:positionV>
                <wp:extent cx="38100" cy="7429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295"/>
                        </a:xfrm>
                        <a:prstGeom prst="rect">
                          <a:avLst/>
                        </a:prstGeom>
                        <a:solidFill>
                          <a:srgbClr val="000000"/>
                        </a:solidFill>
                      </wps:spPr>
                      <wps:bodyPr/>
                    </wps:wsp>
                  </a:graphicData>
                </a:graphic>
              </wp:anchor>
            </w:drawing>
          </mc:Choice>
          <mc:Fallback>
            <w:pict>
              <v:rect id="Shape 29" o:spid="_x0000_s1054" style="position:absolute;margin-left:-33pt;margin-top:52.35pt;width:3pt;height:5.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6494780</wp:posOffset>
                </wp:positionH>
                <wp:positionV relativeFrom="paragraph">
                  <wp:posOffset>664845</wp:posOffset>
                </wp:positionV>
                <wp:extent cx="38100" cy="7429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295"/>
                        </a:xfrm>
                        <a:prstGeom prst="rect">
                          <a:avLst/>
                        </a:prstGeom>
                        <a:solidFill>
                          <a:srgbClr val="000000"/>
                        </a:solidFill>
                      </wps:spPr>
                      <wps:bodyPr/>
                    </wps:wsp>
                  </a:graphicData>
                </a:graphic>
              </wp:anchor>
            </w:drawing>
          </mc:Choice>
          <mc:Fallback>
            <w:pict>
              <v:rect id="Shape 30" o:spid="_x0000_s1055" style="position:absolute;margin-left:511.4pt;margin-top:52.35pt;width:3pt;height:5.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720090</wp:posOffset>
                </wp:positionV>
                <wp:extent cx="695198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56.7pt" to="514.4pt,56.7pt" o:allowincell="f" strokecolor="#000000" strokeweight="3pt"/>
            </w:pict>
          </mc:Fallback>
        </mc:AlternateContent>
      </w:r>
    </w:p>
    <w:p>
      <w:pPr>
        <w:sectPr>
          <w:pgSz w:w="11900" w:h="16838" w:orient="portrait"/>
          <w:cols w:equalWidth="0" w:num="1">
            <w:col w:w="9920"/>
          </w:cols>
          <w:pgMar w:left="1140" w:top="1137" w:right="846" w:bottom="1078" w:gutter="0" w:footer="0" w:header="0"/>
        </w:sectPr>
      </w:pPr>
    </w:p>
    <w:p>
      <w:pPr>
        <w:ind w:left="120"/>
        <w:spacing w:after="0" w:line="350" w:lineRule="auto"/>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304800</wp:posOffset>
                </wp:positionV>
                <wp:extent cx="0" cy="1000950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24pt" to="25.5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7237730</wp:posOffset>
                </wp:positionH>
                <wp:positionV relativeFrom="page">
                  <wp:posOffset>304800</wp:posOffset>
                </wp:positionV>
                <wp:extent cx="0" cy="1000950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9.9pt,24pt" to="569.9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304800</wp:posOffset>
                </wp:positionH>
                <wp:positionV relativeFrom="page">
                  <wp:posOffset>323850</wp:posOffset>
                </wp:positionV>
                <wp:extent cx="695198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pt,25.5pt" to="571.4pt,25.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370205</wp:posOffset>
                </wp:positionV>
                <wp:extent cx="684022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29.15pt" to="567pt,29.1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370205</wp:posOffset>
                </wp:positionH>
                <wp:positionV relativeFrom="page">
                  <wp:posOffset>360680</wp:posOffset>
                </wp:positionV>
                <wp:extent cx="0" cy="997204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7">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15pt,28.4pt" to="29.15pt,813.6pt" o:allowincell="f" strokecolor="#000000" strokeweight="1.4399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10323195</wp:posOffset>
                </wp:positionV>
                <wp:extent cx="684022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812.85pt" to="567pt,812.8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7191375</wp:posOffset>
                </wp:positionH>
                <wp:positionV relativeFrom="page">
                  <wp:posOffset>360680</wp:posOffset>
                </wp:positionV>
                <wp:extent cx="0" cy="997204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6.25pt,28.4pt" to="566.25pt,813.6pt" o:allowincell="f" strokecolor="#000000" strokeweight="1.44pt">
                <w10:wrap anchorx="page" anchory="page"/>
              </v:line>
            </w:pict>
          </mc:Fallback>
        </mc:AlternateContent>
        <w:t>3.11. Реестр приказов о зачислении в МБДОУ размещается на информационном стенде МБДОУ и на официальном сайте МБДОУ в сети Интернет в трехдневный срок.</w:t>
      </w:r>
    </w:p>
    <w:p>
      <w:pPr>
        <w:spacing w:after="0" w:line="23" w:lineRule="exact"/>
        <w:rPr>
          <w:sz w:val="20"/>
          <w:szCs w:val="20"/>
          <w:color w:val="auto"/>
        </w:rPr>
      </w:pPr>
    </w:p>
    <w:p>
      <w:pPr>
        <w:ind w:left="120"/>
        <w:spacing w:after="0" w:line="350" w:lineRule="auto"/>
        <w:rPr>
          <w:sz w:val="20"/>
          <w:szCs w:val="20"/>
          <w:color w:val="auto"/>
        </w:rPr>
      </w:pPr>
      <w:r>
        <w:rPr>
          <w:rFonts w:ascii="Times New Roman" w:cs="Times New Roman" w:eastAsia="Times New Roman" w:hAnsi="Times New Roman"/>
          <w:sz w:val="24"/>
          <w:szCs w:val="24"/>
          <w:color w:val="auto"/>
        </w:rPr>
        <w:t>3.12. На каждого зачисленного в МБДОУ ребенка формируется личное дело, в котором хранятся все полученные при приеме документы.</w:t>
      </w:r>
    </w:p>
    <w:p>
      <w:pPr>
        <w:spacing w:after="0" w:line="16" w:lineRule="exact"/>
        <w:rPr>
          <w:sz w:val="20"/>
          <w:szCs w:val="20"/>
          <w:color w:val="auto"/>
        </w:rPr>
      </w:pPr>
    </w:p>
    <w:p>
      <w:pPr>
        <w:ind w:left="2220" w:hanging="247"/>
        <w:spacing w:after="0"/>
        <w:tabs>
          <w:tab w:leader="none" w:pos="2220" w:val="left"/>
        </w:tabs>
        <w:numPr>
          <w:ilvl w:val="0"/>
          <w:numId w:val="1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Порядок перевода детей из одной возрастной группы в другую</w:t>
      </w:r>
    </w:p>
    <w:p>
      <w:pPr>
        <w:spacing w:after="0" w:line="147" w:lineRule="exact"/>
        <w:rPr>
          <w:sz w:val="20"/>
          <w:szCs w:val="20"/>
          <w:color w:val="auto"/>
        </w:rPr>
      </w:pPr>
    </w:p>
    <w:p>
      <w:pPr>
        <w:jc w:val="both"/>
        <w:ind w:left="120"/>
        <w:spacing w:after="0" w:line="348" w:lineRule="auto"/>
        <w:rPr>
          <w:sz w:val="20"/>
          <w:szCs w:val="20"/>
          <w:color w:val="auto"/>
        </w:rPr>
      </w:pPr>
      <w:r>
        <w:rPr>
          <w:rFonts w:ascii="Times New Roman" w:cs="Times New Roman" w:eastAsia="Times New Roman" w:hAnsi="Times New Roman"/>
          <w:sz w:val="24"/>
          <w:szCs w:val="24"/>
          <w:color w:val="auto"/>
        </w:rPr>
        <w:t>4.1. Перевод ребенка из одной возрастной группы в следующую осуществляется ежегодно с 1 июня до 1 сентября.</w:t>
      </w:r>
    </w:p>
    <w:p>
      <w:pPr>
        <w:spacing w:after="0" w:line="1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24"/>
          <w:szCs w:val="24"/>
          <w:color w:val="auto"/>
        </w:rPr>
        <w:t>4.2.</w:t>
      </w:r>
      <w:r>
        <w:rPr>
          <w:sz w:val="20"/>
          <w:szCs w:val="20"/>
          <w:color w:val="auto"/>
        </w:rPr>
        <w:tab/>
      </w:r>
      <w:r>
        <w:rPr>
          <w:rFonts w:ascii="Times New Roman" w:cs="Times New Roman" w:eastAsia="Times New Roman" w:hAnsi="Times New Roman"/>
          <w:sz w:val="24"/>
          <w:szCs w:val="24"/>
          <w:color w:val="auto"/>
        </w:rPr>
        <w:t>Перевод детей осуществляется согласно  возраста:</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43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Группа раннего возраста</w:t>
            </w: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С 2 до 3</w:t>
            </w:r>
          </w:p>
        </w:tc>
        <w:tc>
          <w:tcPr>
            <w:tcW w:w="14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4"/>
                <w:szCs w:val="24"/>
                <w:color w:val="auto"/>
              </w:rPr>
              <w:t>лет</w:t>
            </w:r>
          </w:p>
        </w:tc>
      </w:tr>
      <w:tr>
        <w:trPr>
          <w:trHeight w:val="144"/>
        </w:trPr>
        <w:tc>
          <w:tcPr>
            <w:tcW w:w="4380" w:type="dxa"/>
            <w:vAlign w:val="bottom"/>
            <w:tcBorders>
              <w:left w:val="single" w:sz="8" w:color="auto"/>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gridSpan w:val="2"/>
          </w:tcPr>
          <w:p>
            <w:pPr>
              <w:spacing w:after="0"/>
              <w:rPr>
                <w:sz w:val="12"/>
                <w:szCs w:val="12"/>
                <w:color w:val="auto"/>
              </w:rPr>
            </w:pPr>
          </w:p>
        </w:tc>
      </w:tr>
      <w:tr>
        <w:trPr>
          <w:trHeight w:val="258"/>
        </w:trPr>
        <w:tc>
          <w:tcPr>
            <w:tcW w:w="43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Группа младшего возраста</w:t>
            </w:r>
          </w:p>
        </w:tc>
        <w:tc>
          <w:tcPr>
            <w:tcW w:w="46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w w:val="99"/>
              </w:rPr>
              <w:t>С 3</w:t>
            </w:r>
          </w:p>
        </w:tc>
        <w:tc>
          <w:tcPr>
            <w:tcW w:w="1960" w:type="dxa"/>
            <w:vAlign w:val="bottom"/>
            <w:tcBorders>
              <w:right w:val="single" w:sz="8" w:color="auto"/>
            </w:tcBorders>
            <w:gridSpan w:val="2"/>
          </w:tcPr>
          <w:p>
            <w:pPr>
              <w:ind w:left="40"/>
              <w:spacing w:after="0" w:line="258" w:lineRule="exact"/>
              <w:rPr>
                <w:sz w:val="20"/>
                <w:szCs w:val="20"/>
                <w:color w:val="auto"/>
              </w:rPr>
            </w:pPr>
            <w:r>
              <w:rPr>
                <w:rFonts w:ascii="Times New Roman" w:cs="Times New Roman" w:eastAsia="Times New Roman" w:hAnsi="Times New Roman"/>
                <w:sz w:val="24"/>
                <w:szCs w:val="24"/>
                <w:color w:val="auto"/>
              </w:rPr>
              <w:t>до 4лет</w:t>
            </w:r>
          </w:p>
        </w:tc>
      </w:tr>
      <w:tr>
        <w:trPr>
          <w:trHeight w:val="147"/>
        </w:trPr>
        <w:tc>
          <w:tcPr>
            <w:tcW w:w="4380" w:type="dxa"/>
            <w:vAlign w:val="bottom"/>
            <w:tcBorders>
              <w:left w:val="single" w:sz="8" w:color="auto"/>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gridSpan w:val="2"/>
          </w:tcPr>
          <w:p>
            <w:pPr>
              <w:spacing w:after="0"/>
              <w:rPr>
                <w:sz w:val="12"/>
                <w:szCs w:val="12"/>
                <w:color w:val="auto"/>
              </w:rPr>
            </w:pPr>
          </w:p>
        </w:tc>
      </w:tr>
      <w:tr>
        <w:trPr>
          <w:trHeight w:val="258"/>
        </w:trPr>
        <w:tc>
          <w:tcPr>
            <w:tcW w:w="43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Группа среднего возраста</w:t>
            </w:r>
          </w:p>
        </w:tc>
        <w:tc>
          <w:tcPr>
            <w:tcW w:w="46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w w:val="99"/>
              </w:rPr>
              <w:t>С 4</w:t>
            </w:r>
          </w:p>
        </w:tc>
        <w:tc>
          <w:tcPr>
            <w:tcW w:w="1960" w:type="dxa"/>
            <w:vAlign w:val="bottom"/>
            <w:tcBorders>
              <w:right w:val="single" w:sz="8" w:color="auto"/>
            </w:tcBorders>
            <w:gridSpan w:val="2"/>
          </w:tcPr>
          <w:p>
            <w:pPr>
              <w:ind w:left="40"/>
              <w:spacing w:after="0" w:line="258" w:lineRule="exact"/>
              <w:rPr>
                <w:sz w:val="20"/>
                <w:szCs w:val="20"/>
                <w:color w:val="auto"/>
              </w:rPr>
            </w:pPr>
            <w:r>
              <w:rPr>
                <w:rFonts w:ascii="Times New Roman" w:cs="Times New Roman" w:eastAsia="Times New Roman" w:hAnsi="Times New Roman"/>
                <w:sz w:val="24"/>
                <w:szCs w:val="24"/>
                <w:color w:val="auto"/>
              </w:rPr>
              <w:t>до 5 лет</w:t>
            </w:r>
          </w:p>
        </w:tc>
      </w:tr>
      <w:tr>
        <w:trPr>
          <w:trHeight w:val="144"/>
        </w:trPr>
        <w:tc>
          <w:tcPr>
            <w:tcW w:w="4380" w:type="dxa"/>
            <w:vAlign w:val="bottom"/>
            <w:tcBorders>
              <w:left w:val="single" w:sz="8" w:color="auto"/>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gridSpan w:val="2"/>
          </w:tcPr>
          <w:p>
            <w:pPr>
              <w:spacing w:after="0"/>
              <w:rPr>
                <w:sz w:val="12"/>
                <w:szCs w:val="12"/>
                <w:color w:val="auto"/>
              </w:rPr>
            </w:pPr>
          </w:p>
        </w:tc>
      </w:tr>
      <w:tr>
        <w:trPr>
          <w:trHeight w:val="260"/>
        </w:trPr>
        <w:tc>
          <w:tcPr>
            <w:tcW w:w="438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Группа старшего возраста</w:t>
            </w:r>
          </w:p>
        </w:tc>
        <w:tc>
          <w:tcPr>
            <w:tcW w:w="46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С 5</w:t>
            </w:r>
          </w:p>
        </w:tc>
        <w:tc>
          <w:tcPr>
            <w:tcW w:w="1960" w:type="dxa"/>
            <w:vAlign w:val="bottom"/>
            <w:tcBorders>
              <w:right w:val="single" w:sz="8" w:color="auto"/>
            </w:tcBorders>
            <w:gridSpan w:val="2"/>
          </w:tcPr>
          <w:p>
            <w:pPr>
              <w:ind w:left="40"/>
              <w:spacing w:after="0" w:line="260" w:lineRule="exact"/>
              <w:rPr>
                <w:sz w:val="20"/>
                <w:szCs w:val="20"/>
                <w:color w:val="auto"/>
              </w:rPr>
            </w:pPr>
            <w:r>
              <w:rPr>
                <w:rFonts w:ascii="Times New Roman" w:cs="Times New Roman" w:eastAsia="Times New Roman" w:hAnsi="Times New Roman"/>
                <w:sz w:val="24"/>
                <w:szCs w:val="24"/>
                <w:color w:val="auto"/>
              </w:rPr>
              <w:t>до 6 лет</w:t>
            </w:r>
          </w:p>
        </w:tc>
      </w:tr>
      <w:tr>
        <w:trPr>
          <w:trHeight w:val="144"/>
        </w:trPr>
        <w:tc>
          <w:tcPr>
            <w:tcW w:w="4380" w:type="dxa"/>
            <w:vAlign w:val="bottom"/>
            <w:tcBorders>
              <w:left w:val="single" w:sz="8" w:color="auto"/>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r>
      <w:tr>
        <w:trPr>
          <w:trHeight w:val="258"/>
        </w:trPr>
        <w:tc>
          <w:tcPr>
            <w:tcW w:w="43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Группа подготовительная к школе</w:t>
            </w:r>
          </w:p>
        </w:tc>
        <w:tc>
          <w:tcPr>
            <w:tcW w:w="46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w w:val="99"/>
              </w:rPr>
              <w:t>С 6</w:t>
            </w:r>
          </w:p>
        </w:tc>
        <w:tc>
          <w:tcPr>
            <w:tcW w:w="560" w:type="dxa"/>
            <w:vAlign w:val="bottom"/>
          </w:tcPr>
          <w:p>
            <w:pPr>
              <w:jc w:val="right"/>
              <w:spacing w:after="0" w:line="258" w:lineRule="exact"/>
              <w:rPr>
                <w:sz w:val="20"/>
                <w:szCs w:val="20"/>
                <w:color w:val="auto"/>
              </w:rPr>
            </w:pPr>
            <w:r>
              <w:rPr>
                <w:rFonts w:ascii="Times New Roman" w:cs="Times New Roman" w:eastAsia="Times New Roman" w:hAnsi="Times New Roman"/>
                <w:sz w:val="24"/>
                <w:szCs w:val="24"/>
                <w:color w:val="auto"/>
              </w:rPr>
              <w:t>до 7</w:t>
            </w:r>
          </w:p>
        </w:tc>
        <w:tc>
          <w:tcPr>
            <w:tcW w:w="1400" w:type="dxa"/>
            <w:vAlign w:val="bottom"/>
            <w:tcBorders>
              <w:right w:val="single" w:sz="8" w:color="auto"/>
            </w:tcBorders>
          </w:tcPr>
          <w:p>
            <w:pPr>
              <w:ind w:left="20"/>
              <w:spacing w:after="0" w:line="258" w:lineRule="exact"/>
              <w:rPr>
                <w:sz w:val="20"/>
                <w:szCs w:val="20"/>
                <w:color w:val="auto"/>
              </w:rPr>
            </w:pPr>
            <w:r>
              <w:rPr>
                <w:rFonts w:ascii="Times New Roman" w:cs="Times New Roman" w:eastAsia="Times New Roman" w:hAnsi="Times New Roman"/>
                <w:sz w:val="24"/>
                <w:szCs w:val="24"/>
                <w:color w:val="auto"/>
              </w:rPr>
              <w:t>лет</w:t>
            </w:r>
          </w:p>
        </w:tc>
      </w:tr>
      <w:tr>
        <w:trPr>
          <w:trHeight w:val="147"/>
        </w:trPr>
        <w:tc>
          <w:tcPr>
            <w:tcW w:w="4380" w:type="dxa"/>
            <w:vAlign w:val="bottom"/>
            <w:tcBorders>
              <w:left w:val="single" w:sz="8" w:color="auto"/>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r>
    </w:tbl>
    <w:p>
      <w:pPr>
        <w:spacing w:after="0" w:line="5" w:lineRule="exact"/>
        <w:rPr>
          <w:sz w:val="20"/>
          <w:szCs w:val="20"/>
          <w:color w:val="auto"/>
        </w:rPr>
      </w:pPr>
    </w:p>
    <w:p>
      <w:pPr>
        <w:jc w:val="both"/>
        <w:ind w:left="120"/>
        <w:spacing w:after="0" w:line="348" w:lineRule="auto"/>
        <w:rPr>
          <w:sz w:val="20"/>
          <w:szCs w:val="20"/>
          <w:color w:val="auto"/>
        </w:rPr>
      </w:pPr>
      <w:r>
        <w:rPr>
          <w:rFonts w:ascii="Times New Roman" w:cs="Times New Roman" w:eastAsia="Times New Roman" w:hAnsi="Times New Roman"/>
          <w:sz w:val="24"/>
          <w:szCs w:val="24"/>
          <w:color w:val="auto"/>
        </w:rPr>
        <w:t>4.3. Перевод в другую возрастную группу осуществляется на основании заявления родителей (законных представителей) при наличии в этой группе свободных мест.</w:t>
      </w:r>
    </w:p>
    <w:p>
      <w:pPr>
        <w:spacing w:after="0" w:line="28" w:lineRule="exact"/>
        <w:rPr>
          <w:sz w:val="20"/>
          <w:szCs w:val="20"/>
          <w:color w:val="auto"/>
        </w:rPr>
      </w:pPr>
    </w:p>
    <w:p>
      <w:pPr>
        <w:jc w:val="both"/>
        <w:ind w:left="120" w:right="20"/>
        <w:spacing w:after="0" w:line="348" w:lineRule="auto"/>
        <w:rPr>
          <w:sz w:val="20"/>
          <w:szCs w:val="20"/>
          <w:color w:val="auto"/>
        </w:rPr>
      </w:pPr>
      <w:r>
        <w:rPr>
          <w:rFonts w:ascii="Times New Roman" w:cs="Times New Roman" w:eastAsia="Times New Roman" w:hAnsi="Times New Roman"/>
          <w:sz w:val="24"/>
          <w:szCs w:val="24"/>
          <w:color w:val="auto"/>
        </w:rPr>
        <w:t>4.4. В срок до 1 сентября издаются приказы о формировании групп на начало учебного года, где закрепляется за данной группой воспитатель, отвечающий за жизнь и здоровье детей.</w:t>
      </w:r>
    </w:p>
    <w:p>
      <w:pPr>
        <w:spacing w:after="0" w:line="2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4"/>
          <w:szCs w:val="24"/>
          <w:b w:val="1"/>
          <w:bCs w:val="1"/>
          <w:color w:val="auto"/>
        </w:rPr>
        <w:t>5. Порядок отчисления</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5.1. Отчисление ребенка из МБДОУ:</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5.1.1. В связи с получением дошкольного образования и (или) завершением обучения.</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5.1.2. Досрочно по основаниям, установленным п. 5.2. Положения.</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5.2. Досрочное отчисление может быть в следующих случаях:</w:t>
      </w:r>
    </w:p>
    <w:p>
      <w:pPr>
        <w:spacing w:after="0" w:line="149" w:lineRule="exact"/>
        <w:rPr>
          <w:sz w:val="20"/>
          <w:szCs w:val="20"/>
          <w:color w:val="auto"/>
        </w:rPr>
      </w:pPr>
    </w:p>
    <w:p>
      <w:pPr>
        <w:jc w:val="both"/>
        <w:ind w:left="120"/>
        <w:spacing w:after="0" w:line="356" w:lineRule="auto"/>
        <w:rPr>
          <w:sz w:val="20"/>
          <w:szCs w:val="20"/>
          <w:color w:val="auto"/>
        </w:rPr>
      </w:pPr>
      <w:r>
        <w:rPr>
          <w:rFonts w:ascii="Times New Roman" w:cs="Times New Roman" w:eastAsia="Times New Roman" w:hAnsi="Times New Roman"/>
          <w:sz w:val="24"/>
          <w:szCs w:val="24"/>
          <w:color w:val="auto"/>
        </w:rPr>
        <w:t>5.2.1. По инициативе родителей (законных представителей) ребенка, в т. ч. в случае перемены места жительства, перевода ребенка для продолжения освоения образовательной программы в другую организацию, осуществляющую образовательную деятельность, выбора получения образования в форме семейного образования.</w:t>
      </w:r>
    </w:p>
    <w:p>
      <w:pPr>
        <w:spacing w:after="0" w:line="19" w:lineRule="exact"/>
        <w:rPr>
          <w:sz w:val="20"/>
          <w:szCs w:val="20"/>
          <w:color w:val="auto"/>
        </w:rPr>
      </w:pPr>
    </w:p>
    <w:p>
      <w:pPr>
        <w:jc w:val="both"/>
        <w:ind w:left="120"/>
        <w:spacing w:after="0" w:line="350" w:lineRule="auto"/>
        <w:rPr>
          <w:sz w:val="20"/>
          <w:szCs w:val="20"/>
          <w:color w:val="auto"/>
        </w:rPr>
      </w:pPr>
      <w:r>
        <w:rPr>
          <w:rFonts w:ascii="Times New Roman" w:cs="Times New Roman" w:eastAsia="Times New Roman" w:hAnsi="Times New Roman"/>
          <w:sz w:val="24"/>
          <w:szCs w:val="24"/>
          <w:color w:val="auto"/>
        </w:rPr>
        <w:t>5.2.2. По обстоятельствам, не зависящим от воли родителей (законных представителей) ребенка обучающегося в МБДОУ, в т. ч. в случае прекращения деятельности МБДОУ.</w:t>
      </w:r>
    </w:p>
    <w:p>
      <w:pPr>
        <w:spacing w:after="0" w:line="24" w:lineRule="exact"/>
        <w:rPr>
          <w:sz w:val="20"/>
          <w:szCs w:val="20"/>
          <w:color w:val="auto"/>
        </w:rPr>
      </w:pPr>
    </w:p>
    <w:p>
      <w:pPr>
        <w:ind w:left="120"/>
        <w:spacing w:after="0" w:line="358" w:lineRule="auto"/>
        <w:rPr>
          <w:sz w:val="20"/>
          <w:szCs w:val="20"/>
          <w:color w:val="auto"/>
        </w:rPr>
      </w:pPr>
      <w:r>
        <w:rPr>
          <w:rFonts w:ascii="Times New Roman" w:cs="Times New Roman" w:eastAsia="Times New Roman" w:hAnsi="Times New Roman"/>
          <w:sz w:val="24"/>
          <w:szCs w:val="24"/>
          <w:color w:val="auto"/>
        </w:rPr>
        <w:t>5.3. Перевод ребенка из одного МБДОУ в другое осуществляется только с письменного согласия родителей (законных представителей) ребенка и согласования с отделом образования. 5.4. Отчисление как мера дисциплинарного взыскания не применяется к ребенку обучающемуся по образовательным программам дошкольного образования, а также к ребенку с ограниченными возможностями здоровья (с задержкой психического развития и различными формами умственной отсталости). Не допускается отчисление ребенка во время их болезни, каникул.</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361950</wp:posOffset>
                </wp:positionV>
                <wp:extent cx="38100" cy="7429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295"/>
                        </a:xfrm>
                        <a:prstGeom prst="rect">
                          <a:avLst/>
                        </a:prstGeom>
                        <a:solidFill>
                          <a:srgbClr val="000000"/>
                        </a:solidFill>
                      </wps:spPr>
                      <wps:bodyPr/>
                    </wps:wsp>
                  </a:graphicData>
                </a:graphic>
              </wp:anchor>
            </w:drawing>
          </mc:Choice>
          <mc:Fallback>
            <w:pict>
              <v:rect id="Shape 39" o:spid="_x0000_s1064" style="position:absolute;margin-left:-27pt;margin-top:28.5pt;width:3pt;height:5.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6570980</wp:posOffset>
                </wp:positionH>
                <wp:positionV relativeFrom="paragraph">
                  <wp:posOffset>361950</wp:posOffset>
                </wp:positionV>
                <wp:extent cx="38100" cy="7429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295"/>
                        </a:xfrm>
                        <a:prstGeom prst="rect">
                          <a:avLst/>
                        </a:prstGeom>
                        <a:solidFill>
                          <a:srgbClr val="000000"/>
                        </a:solidFill>
                      </wps:spPr>
                      <wps:bodyPr/>
                    </wps:wsp>
                  </a:graphicData>
                </a:graphic>
              </wp:anchor>
            </w:drawing>
          </mc:Choice>
          <mc:Fallback>
            <w:pict>
              <v:rect id="Shape 40" o:spid="_x0000_s1065" style="position:absolute;margin-left:517.4pt;margin-top:28.5pt;width:3pt;height:5.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-342900</wp:posOffset>
                </wp:positionH>
                <wp:positionV relativeFrom="paragraph">
                  <wp:posOffset>417195</wp:posOffset>
                </wp:positionV>
                <wp:extent cx="695198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32.85pt" to="520.4pt,32.85pt" o:allowincell="f" strokecolor="#000000" strokeweight="3pt"/>
            </w:pict>
          </mc:Fallback>
        </mc:AlternateContent>
      </w:r>
    </w:p>
    <w:p>
      <w:pPr>
        <w:sectPr>
          <w:pgSz w:w="11900" w:h="16838" w:orient="portrait"/>
          <w:cols w:equalWidth="0" w:num="1">
            <w:col w:w="10040"/>
          </w:cols>
          <w:pgMar w:left="1020" w:top="1137" w:right="846" w:bottom="601" w:gutter="0" w:footer="0" w:header="0"/>
        </w:sectPr>
      </w:pPr>
    </w:p>
    <w:p>
      <w:pPr>
        <w:spacing w:after="0"/>
        <w:rPr>
          <w:sz w:val="20"/>
          <w:szCs w:val="20"/>
          <w:color w:val="auto"/>
        </w:rPr>
      </w:pPr>
      <w:r>
        <w:rPr>
          <w:rFonts w:ascii="Times New Roman" w:cs="Times New Roman" w:eastAsia="Times New Roman" w:hAnsi="Times New Roman"/>
          <w:sz w:val="24"/>
          <w:szCs w:val="24"/>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304800</wp:posOffset>
                </wp:positionV>
                <wp:extent cx="0" cy="1000950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24pt" to="25.5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7237730</wp:posOffset>
                </wp:positionH>
                <wp:positionV relativeFrom="page">
                  <wp:posOffset>304800</wp:posOffset>
                </wp:positionV>
                <wp:extent cx="0" cy="1000950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09505"/>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9.9pt,24pt" to="569.9pt,812.1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304800</wp:posOffset>
                </wp:positionH>
                <wp:positionV relativeFrom="page">
                  <wp:posOffset>323850</wp:posOffset>
                </wp:positionV>
                <wp:extent cx="695198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pt,25.5pt" to="571.4pt,25.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370205</wp:posOffset>
                </wp:positionV>
                <wp:extent cx="684022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29.15pt" to="567pt,29.1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370205</wp:posOffset>
                </wp:positionH>
                <wp:positionV relativeFrom="page">
                  <wp:posOffset>360680</wp:posOffset>
                </wp:positionV>
                <wp:extent cx="0" cy="997204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7">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9.15pt,28.4pt" to="29.15pt,813.6pt" o:allowincell="f" strokecolor="#000000" strokeweight="1.4399pt">
                <w10:wrap anchorx="page" anchory="page"/>
              </v:line>
            </w:pict>
          </mc:Fallback>
        </mc:AlternateContent>
        <mc:AlternateContent>
          <mc:Choice Requires="wps">
            <w:drawing>
              <wp:anchor simplePos="0" relativeHeight="251657728" behindDoc="1" locked="0" layoutInCell="0" allowOverlap="1">
                <wp:simplePos x="0" y="0"/>
                <wp:positionH relativeFrom="page">
                  <wp:posOffset>360680</wp:posOffset>
                </wp:positionH>
                <wp:positionV relativeFrom="page">
                  <wp:posOffset>10323195</wp:posOffset>
                </wp:positionV>
                <wp:extent cx="684022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022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4pt,812.85pt" to="567pt,812.85pt" o:allowincell="f" strokecolor="#000000" strokeweight="1.44pt">
                <w10:wrap anchorx="page" anchory="page"/>
              </v:line>
            </w:pict>
          </mc:Fallback>
        </mc:AlternateContent>
        <mc:AlternateContent>
          <mc:Choice Requires="wps">
            <w:drawing>
              <wp:anchor simplePos="0" relativeHeight="251657728" behindDoc="1" locked="0" layoutInCell="0" allowOverlap="1">
                <wp:simplePos x="0" y="0"/>
                <wp:positionH relativeFrom="page">
                  <wp:posOffset>7191375</wp:posOffset>
                </wp:positionH>
                <wp:positionV relativeFrom="page">
                  <wp:posOffset>360680</wp:posOffset>
                </wp:positionV>
                <wp:extent cx="0" cy="997204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972040"/>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6.25pt,28.4pt" to="566.25pt,813.6pt" o:allowincell="f" strokecolor="#000000" strokeweight="1.44pt">
                <w10:wrap anchorx="page" anchory="page"/>
              </v:line>
            </w:pict>
          </mc:Fallback>
        </mc:AlternateContent>
        <w:t>5.5. Основанием для отчисления является приказ об отчислении ребенка из МБДОУ.</w:t>
      </w:r>
    </w:p>
    <w:p>
      <w:pPr>
        <w:spacing w:after="0" w:line="152"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24"/>
          <w:szCs w:val="24"/>
          <w:color w:val="auto"/>
        </w:rPr>
        <w:t>5.6. При отчислении ребенка из МБДОУ в трехдневный срок после издания приказа об отчислении ребенка родителям выдается, справка об обучении ребенка по образовательным программам дошкольного образования по образцу, установленному МБДОУ.</w:t>
      </w:r>
    </w:p>
    <w:p>
      <w:pPr>
        <w:spacing w:after="0" w:line="20" w:lineRule="exact"/>
        <w:rPr>
          <w:sz w:val="20"/>
          <w:szCs w:val="20"/>
          <w:color w:val="auto"/>
        </w:rPr>
      </w:pPr>
    </w:p>
    <w:p>
      <w:pPr>
        <w:jc w:val="both"/>
        <w:spacing w:after="0" w:line="350" w:lineRule="auto"/>
        <w:rPr>
          <w:sz w:val="20"/>
          <w:szCs w:val="20"/>
          <w:color w:val="auto"/>
        </w:rPr>
      </w:pPr>
      <w:r>
        <w:rPr>
          <w:rFonts w:ascii="Times New Roman" w:cs="Times New Roman" w:eastAsia="Times New Roman" w:hAnsi="Times New Roman"/>
          <w:sz w:val="24"/>
          <w:szCs w:val="24"/>
          <w:color w:val="auto"/>
        </w:rPr>
        <w:t>5.7. При отчислении ребенка из МБДОУ его родителям (законным представителям) выдают следующие документы:</w:t>
      </w:r>
    </w:p>
    <w:p>
      <w:pPr>
        <w:spacing w:after="0" w:line="10" w:lineRule="exact"/>
        <w:rPr>
          <w:sz w:val="20"/>
          <w:szCs w:val="20"/>
          <w:color w:val="auto"/>
        </w:rPr>
      </w:pPr>
    </w:p>
    <w:p>
      <w:pPr>
        <w:ind w:left="700" w:hanging="347"/>
        <w:spacing w:after="0"/>
        <w:tabs>
          <w:tab w:leader="none" w:pos="700" w:val="left"/>
        </w:tabs>
        <w:numPr>
          <w:ilvl w:val="0"/>
          <w:numId w:val="12"/>
        </w:numPr>
        <w:rPr>
          <w:rFonts w:ascii="Arial" w:cs="Arial" w:eastAsia="Arial" w:hAnsi="Arial"/>
          <w:sz w:val="24"/>
          <w:szCs w:val="24"/>
          <w:color w:val="auto"/>
        </w:rPr>
      </w:pPr>
      <w:r>
        <w:rPr>
          <w:rFonts w:ascii="Times New Roman" w:cs="Times New Roman" w:eastAsia="Times New Roman" w:hAnsi="Times New Roman"/>
          <w:sz w:val="24"/>
          <w:szCs w:val="24"/>
          <w:color w:val="auto"/>
        </w:rPr>
        <w:t>Медицинская карта Ф- 026;</w:t>
      </w:r>
    </w:p>
    <w:p>
      <w:pPr>
        <w:spacing w:after="0" w:line="138" w:lineRule="exact"/>
        <w:rPr>
          <w:rFonts w:ascii="Arial" w:cs="Arial" w:eastAsia="Arial" w:hAnsi="Arial"/>
          <w:sz w:val="24"/>
          <w:szCs w:val="24"/>
          <w:color w:val="auto"/>
        </w:rPr>
      </w:pPr>
    </w:p>
    <w:p>
      <w:pPr>
        <w:ind w:left="700" w:hanging="347"/>
        <w:spacing w:after="0"/>
        <w:tabs>
          <w:tab w:leader="none" w:pos="700" w:val="left"/>
        </w:tabs>
        <w:numPr>
          <w:ilvl w:val="0"/>
          <w:numId w:val="12"/>
        </w:numPr>
        <w:rPr>
          <w:rFonts w:ascii="Arial" w:cs="Arial" w:eastAsia="Arial" w:hAnsi="Arial"/>
          <w:sz w:val="24"/>
          <w:szCs w:val="24"/>
          <w:color w:val="auto"/>
        </w:rPr>
      </w:pPr>
      <w:r>
        <w:rPr>
          <w:rFonts w:ascii="Times New Roman" w:cs="Times New Roman" w:eastAsia="Times New Roman" w:hAnsi="Times New Roman"/>
          <w:sz w:val="24"/>
          <w:szCs w:val="24"/>
          <w:color w:val="auto"/>
        </w:rPr>
        <w:t>Прививочный сертификат.</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-419100</wp:posOffset>
                </wp:positionH>
                <wp:positionV relativeFrom="paragraph">
                  <wp:posOffset>7583170</wp:posOffset>
                </wp:positionV>
                <wp:extent cx="38100" cy="7493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930"/>
                        </a:xfrm>
                        <a:prstGeom prst="rect">
                          <a:avLst/>
                        </a:prstGeom>
                        <a:solidFill>
                          <a:srgbClr val="000000"/>
                        </a:solidFill>
                      </wps:spPr>
                      <wps:bodyPr/>
                    </wps:wsp>
                  </a:graphicData>
                </a:graphic>
              </wp:anchor>
            </w:drawing>
          </mc:Choice>
          <mc:Fallback>
            <w:pict>
              <v:rect id="Shape 49" o:spid="_x0000_s1074" style="position:absolute;margin-left:-33pt;margin-top:597.1pt;width:3pt;height: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6494780</wp:posOffset>
                </wp:positionH>
                <wp:positionV relativeFrom="paragraph">
                  <wp:posOffset>7583170</wp:posOffset>
                </wp:positionV>
                <wp:extent cx="38100" cy="7493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74930"/>
                        </a:xfrm>
                        <a:prstGeom prst="rect">
                          <a:avLst/>
                        </a:prstGeom>
                        <a:solidFill>
                          <a:srgbClr val="000000"/>
                        </a:solidFill>
                      </wps:spPr>
                      <wps:bodyPr/>
                    </wps:wsp>
                  </a:graphicData>
                </a:graphic>
              </wp:anchor>
            </w:drawing>
          </mc:Choice>
          <mc:Fallback>
            <w:pict>
              <v:rect id="Shape 50" o:spid="_x0000_s1075" style="position:absolute;margin-left:511.4pt;margin-top:597.1pt;width:3pt;height: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7639050</wp:posOffset>
                </wp:positionV>
                <wp:extent cx="695198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198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601.5pt" to="514.4pt,601.5pt" o:allowincell="f" strokecolor="#000000" strokeweight="3pt"/>
            </w:pict>
          </mc:Fallback>
        </mc:AlternateContent>
      </w:r>
    </w:p>
    <w:sectPr>
      <w:pgSz w:w="11900" w:h="16838" w:orient="portrait"/>
      <w:cols w:equalWidth="0" w:num="1">
        <w:col w:w="9920"/>
      </w:cols>
      <w:pgMar w:left="1140" w:top="1125" w:right="846"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400001FF" w:csb1="FFFF0000"/>
  </w:font>
</w:fonts>
</file>

<file path=word/numbering.xml><?xml version="1.0" encoding="utf-8"?>
<w:numbering xmlns:w="http://schemas.openxmlformats.org/wordprocessingml/2006/main">
  <w:abstractNum w:abstractNumId="0">
    <w:nsid w:val="5AF1"/>
    <w:multiLevelType w:val="hybridMultilevel"/>
    <w:lvl w:ilvl="0">
      <w:lvlJc w:val="left"/>
      <w:lvlText w:val="О"/>
      <w:numFmt w:val="bullet"/>
      <w:start w:val="1"/>
    </w:lvl>
  </w:abstractNum>
  <w:abstractNum w:abstractNumId="1">
    <w:nsid w:val="41BB"/>
    <w:multiLevelType w:val="hybridMultilevel"/>
    <w:lvl w:ilvl="0">
      <w:lvlJc w:val="left"/>
      <w:lvlText w:val="%1."/>
      <w:numFmt w:val="decimal"/>
      <w:start w:val="1"/>
    </w:lvl>
  </w:abstractNum>
  <w:abstractNum w:abstractNumId="2">
    <w:nsid w:val="26E9"/>
    <w:multiLevelType w:val="hybridMultilevel"/>
    <w:lvl w:ilvl="0">
      <w:lvlJc w:val="left"/>
      <w:lvlText w:val="\endash "/>
      <w:numFmt w:val="bullet"/>
      <w:start w:val="1"/>
    </w:lvl>
  </w:abstractNum>
  <w:abstractNum w:abstractNumId="3">
    <w:nsid w:val="1EB"/>
    <w:multiLevelType w:val="hybridMultilevel"/>
    <w:lvl w:ilvl="0">
      <w:lvlJc w:val="left"/>
      <w:lvlText w:val="\endash "/>
      <w:numFmt w:val="bullet"/>
      <w:start w:val="1"/>
    </w:lvl>
  </w:abstractNum>
  <w:abstractNum w:abstractNumId="4">
    <w:nsid w:val="BB3"/>
    <w:multiLevelType w:val="hybridMultilevel"/>
    <w:lvl w:ilvl="0">
      <w:lvlJc w:val="left"/>
      <w:lvlText w:val="\endash "/>
      <w:numFmt w:val="bullet"/>
      <w:start w:val="1"/>
    </w:lvl>
  </w:abstractNum>
  <w:abstractNum w:abstractNumId="5">
    <w:nsid w:val="2EA6"/>
    <w:multiLevelType w:val="hybridMultilevel"/>
    <w:lvl w:ilvl="0">
      <w:lvlJc w:val="left"/>
      <w:lvlText w:val="%1."/>
      <w:numFmt w:val="decimal"/>
      <w:start w:val="2"/>
    </w:lvl>
  </w:abstractNum>
  <w:abstractNum w:abstractNumId="6">
    <w:nsid w:val="12DB"/>
    <w:multiLevelType w:val="hybridMultilevel"/>
    <w:lvl w:ilvl="0">
      <w:lvlJc w:val="left"/>
      <w:lvlText w:val="-"/>
      <w:numFmt w:val="bullet"/>
      <w:start w:val="1"/>
    </w:lvl>
  </w:abstractNum>
  <w:abstractNum w:abstractNumId="7">
    <w:nsid w:val="153C"/>
    <w:multiLevelType w:val="hybridMultilevel"/>
    <w:lvl w:ilvl="0">
      <w:lvlJc w:val="left"/>
      <w:lvlText w:val="-"/>
      <w:numFmt w:val="bullet"/>
      <w:start w:val="1"/>
    </w:lvl>
  </w:abstractNum>
  <w:abstractNum w:abstractNumId="8">
    <w:nsid w:val="7E87"/>
    <w:multiLevelType w:val="hybridMultilevel"/>
    <w:lvl w:ilvl="0">
      <w:lvlJc w:val="left"/>
      <w:lvlText w:val="-"/>
      <w:numFmt w:val="bullet"/>
      <w:start w:val="1"/>
    </w:lvl>
  </w:abstractNum>
  <w:abstractNum w:abstractNumId="9">
    <w:nsid w:val="390C"/>
    <w:multiLevelType w:val="hybridMultilevel"/>
    <w:lvl w:ilvl="0">
      <w:lvlJc w:val="left"/>
      <w:lvlText w:val="\endash "/>
      <w:numFmt w:val="bullet"/>
      <w:start w:val="1"/>
    </w:lvl>
  </w:abstractNum>
  <w:abstractNum w:abstractNumId="10">
    <w:nsid w:val="F3E"/>
    <w:multiLevelType w:val="hybridMultilevel"/>
    <w:lvl w:ilvl="0">
      <w:lvlJc w:val="left"/>
      <w:lvlText w:val="%1."/>
      <w:numFmt w:val="decimal"/>
      <w:start w:val="4"/>
    </w:lvl>
  </w:abstractNum>
  <w:abstractNum w:abstractNumId="11">
    <w:nsid w:val="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8" Type="http://schemas.openxmlformats.org/officeDocument/2006/relationships/image" Target="media/image1.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2019-11-14T08:59:00Z</dcterms:created>
  <dcterms:modified xsi:type="dcterms:W3CDTF">2019-11-14T08:59:00Z</dcterms:modified>
</cp:coreProperties>
</file>

<file path=docProps/custom.xml><?xml version="1.0" encoding="utf-8"?>
<Properties xmlns:vt="http://schemas.openxmlformats.org/officeDocument/2006/docPropsVTypes" xmlns="http://schemas.openxmlformats.org/officeDocument/2006/custom-properties"/>
</file>